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left"/>
        <w:rPr/>
      </w:pPr>
      <w:r>
        <w:rPr>
          <w:rStyle w:val="Strong"/>
        </w:rPr>
        <w:t>Checklista wdrożenia systemu rezerwacji - [nazwa gminy / jednostki]</w:t>
      </w:r>
    </w:p>
    <w:p>
      <w:pPr>
        <w:pStyle w:val="BodyText"/>
        <w:bidi w:val="0"/>
        <w:jc w:val="left"/>
        <w:rPr/>
      </w:pPr>
      <w:r>
        <w:rPr/>
        <w:t>Koordynator: [imię i nazwisko, funkcja] · Data startu: [ ] · Planowane otwarcie portalu: [ ]</w:t>
      </w:r>
    </w:p>
    <w:p>
      <w:pPr>
        <w:pStyle w:val="Heading3"/>
        <w:bidi w:val="0"/>
        <w:jc w:val="left"/>
        <w:rPr/>
      </w:pPr>
      <w:r>
        <w:rPr/>
        <w:t>Tydzień 1. Decyzje i dokumenty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08"/>
        <w:gridCol w:w="6023"/>
        <w:gridCol w:w="1836"/>
        <w:gridCol w:w="1837"/>
      </w:tblGrid>
      <w:tr>
        <w:trPr>
          <w:tblHeader w:val="true"/>
        </w:trPr>
        <w:tc>
          <w:tcPr>
            <w:tcW w:w="508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Wybrać jednostkę i obiekty na start (rekomendacja: 1 jednostka, 1-3 obiekty)</w:t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Zebrać aktualne regulaminy, uchwały i zarządzenia dotyczące udostępniania obiektów</w:t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Zebrać aktualne cenniki i podstawy zwolnień z opłat</w:t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Opisać obecny proces: kto przyjmuje rezerwacje, kto zatwierdza, kto wydaje klucze, kto rozlicza wpłaty</w:t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 xml:space="preserve">★ </w:t>
            </w:r>
            <w:r>
              <w:rPr/>
              <w:t>Ustalić, kto jest administratorem danych (urząd czy jednostka) - z IOD</w:t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 xml:space="preserve">★ </w:t>
            </w:r>
            <w:r>
              <w:rPr/>
              <w:t>Przekazać IOD i radcy prawnemu projekt umowy powierzenia dostawcy</w:t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Heading3"/>
        <w:bidi w:val="0"/>
        <w:jc w:val="left"/>
        <w:rPr/>
      </w:pPr>
      <w:r>
        <w:rPr/>
        <w:t>Tydzień 2. Konto, jednostki, ludzie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10"/>
        <w:gridCol w:w="6021"/>
        <w:gridCol w:w="1837"/>
        <w:gridCol w:w="1836"/>
      </w:tblGrid>
      <w:tr>
        <w:trPr>
          <w:tblHeader w:val="true"/>
        </w:trPr>
        <w:tc>
          <w:tcPr>
            <w:tcW w:w="5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Uruchomić konto gminy (w ZAJMIJ.TO adres nazwagminy.zajmij.to)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Dodać jednostki jako organizacje (dane z rejestru po NIP/REGON)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Ustalić role: administrator (cała gmina), kierownik (jednostka), pracownik (przypisane obiekty)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Założyć imienne konta pracowników - bez wspólnych loginów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(opcjonalnie) Włączyć drugi składnik logowania (kod z e-maila albo aplikacja uwierzytelniająca), co najmniej dla administratorów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Heading3"/>
        <w:bidi w:val="0"/>
        <w:jc w:val="left"/>
        <w:rPr/>
      </w:pPr>
      <w:r>
        <w:rPr/>
        <w:t>Tydzień 3. Obiekty i dostępność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09"/>
        <w:gridCol w:w="6022"/>
        <w:gridCol w:w="1837"/>
        <w:gridCol w:w="1836"/>
      </w:tblGrid>
      <w:tr>
        <w:trPr>
          <w:tblHeader w:val="true"/>
        </w:trPr>
        <w:tc>
          <w:tcPr>
            <w:tcW w:w="50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Utworzyć kategorie widoczne dla mieszkańców (np. „Świetlice”, „Hale sportowe”)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Opisać obiekty: adres, pojemność, wyposażenie, zdjęcia (bez osób na zdjęciach)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Ustawić godziny dostępności i przerwy na przygotowanie i sprzątanie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Wprowadzić blokady: wydarzenia gminne, remonty, zamknięcia sezonowe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Przypisać zarządcę każdego obiektu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Heading3"/>
        <w:bidi w:val="0"/>
        <w:jc w:val="left"/>
        <w:rPr/>
      </w:pPr>
      <w:r>
        <w:rPr/>
        <w:t>Tydzień 4. Cenniki, dokumenty, płatności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10"/>
        <w:gridCol w:w="6021"/>
        <w:gridCol w:w="1837"/>
        <w:gridCol w:w="1836"/>
      </w:tblGrid>
      <w:tr>
        <w:trPr>
          <w:tblHeader w:val="true"/>
        </w:trPr>
        <w:tc>
          <w:tcPr>
            <w:tcW w:w="5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Przenieść cenniki: stawka netto, VAT, ewentualne cenniki indywidualne dla klubów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Porównać cennik w systemie z uchwałą lub zarządzeniem na 3 typowych rezerwacjach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Opublikować regulamin i klauzulę informacyjną RODO (PDF)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(opcjonalnie) Przygotować szablon DOCX protokołu przekazania lub umowy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Ustalić, które jednostki przyjmują płatności online, a które tylko na miejscu lub przelewem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(opcjonalnie) Skonfigurować Przelewy24 dla jednostki i sprawdzić płatność w trybie testowym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Heading3"/>
        <w:bidi w:val="0"/>
        <w:jc w:val="left"/>
        <w:rPr/>
      </w:pPr>
      <w:r>
        <w:rPr/>
        <w:t>Tydzień 5. Próba generalna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09"/>
        <w:gridCol w:w="6021"/>
        <w:gridCol w:w="1837"/>
        <w:gridCol w:w="1837"/>
      </w:tblGrid>
      <w:tr>
        <w:trPr>
          <w:tblHeader w:val="true"/>
        </w:trPr>
        <w:tc>
          <w:tcPr>
            <w:tcW w:w="50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Przejść rezerwację od wyboru terminu do potwierdzenia e-mailem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Przejść rezerwację płatną i zwrot (pełny i częściowy)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Przejść rezygnację mieszkańca i odwołanie przez gminę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Przejść zablokowanie obiektu z kolidującymi rezerwacjami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Przejść reklamację do zakończonej rezerwacji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Sprawdzić, co widzi pracownik każdej roli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Spisać uwagi i poprawić konfigurację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Heading3"/>
        <w:bidi w:val="0"/>
        <w:jc w:val="left"/>
        <w:rPr/>
      </w:pPr>
      <w:r>
        <w:rPr/>
        <w:t>Tydzień 6. Dane i ludzie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09"/>
        <w:gridCol w:w="6021"/>
        <w:gridCol w:w="1837"/>
        <w:gridCol w:w="1837"/>
      </w:tblGrid>
      <w:tr>
        <w:trPr>
          <w:tblHeader w:val="true"/>
        </w:trPr>
        <w:tc>
          <w:tcPr>
            <w:tcW w:w="50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 xml:space="preserve">★ </w:t>
            </w:r>
            <w:r>
              <w:rPr/>
              <w:t>Potwierdzić, że umowa powierzenia obowiązuje, zanim do systemu trafią dane mieszkańców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Przenieść przyszłe rezerwacje z arkusza lub zeszytu (samodzielnie albo w płatnym wdrożeniu)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Ustalić datę, od której nowe rezerwacje są przyjmowane tylko w systemie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Przeszkolić pracowników i opiekunów obiektów; ustalić zastępstwa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Przygotować sposób obsługi osób, które rezerwują telefonicznie lub osobiście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Heading3"/>
        <w:bidi w:val="0"/>
        <w:jc w:val="left"/>
        <w:rPr/>
      </w:pPr>
      <w:r>
        <w:rPr/>
        <w:t>Tydzień 7. Otwarcie portalu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09"/>
        <w:gridCol w:w="6022"/>
        <w:gridCol w:w="1837"/>
        <w:gridCol w:w="1836"/>
      </w:tblGrid>
      <w:tr>
        <w:trPr>
          <w:tblHeader w:val="true"/>
        </w:trPr>
        <w:tc>
          <w:tcPr>
            <w:tcW w:w="50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Otworzyć portal dla mieszkańców (w ZAJMIJ.TO przycisk „Uruchom portal”; do tego czasu mieszkańcy go nie widzą)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Opublikować aktualność na stronie gminy i w BIP z linkiem do portalu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Przekazać informację sołtysom, opiekunom, klubom i organizacjom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Wywiesić informację w obiektach (adres portalu, kontakt dla osób bez internetu)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Heading3"/>
        <w:bidi w:val="0"/>
        <w:jc w:val="left"/>
        <w:rPr/>
      </w:pPr>
      <w:r>
        <w:rPr/>
        <w:t>Tydzień 8. Pierwszy przegląd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09"/>
        <w:gridCol w:w="6022"/>
        <w:gridCol w:w="1837"/>
        <w:gridCol w:w="1836"/>
      </w:tblGrid>
      <w:tr>
        <w:trPr>
          <w:tblHeader w:val="true"/>
        </w:trPr>
        <w:tc>
          <w:tcPr>
            <w:tcW w:w="509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✓</w:t>
            </w:r>
          </w:p>
        </w:tc>
        <w:tc>
          <w:tcPr>
            <w:tcW w:w="602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Zadanie</w:t>
            </w:r>
          </w:p>
        </w:tc>
        <w:tc>
          <w:tcPr>
            <w:tcW w:w="18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Kto</w:t>
            </w:r>
          </w:p>
        </w:tc>
        <w:tc>
          <w:tcPr>
            <w:tcW w:w="183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Termin</w:t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Sprawdzić raport rezerwacji i anulowań za pierwsze tygodnie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Zebrać uwagi pracowników i mieszkańców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Zdecydować o kolejnych jednostkach i obiektach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☐</w:t>
            </w:r>
          </w:p>
        </w:tc>
        <w:tc>
          <w:tcPr>
            <w:tcW w:w="6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Zdecydować o dalszym korzystaniu z systemu i zaplanować wydatek w budżecie</w:t>
            </w:r>
          </w:p>
        </w:tc>
        <w:tc>
          <w:tcPr>
            <w:tcW w:w="1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BodyText"/>
        <w:bidi w:val="0"/>
        <w:jc w:val="left"/>
        <w:rPr/>
      </w:pPr>
      <w:r>
        <w:rPr>
          <w:rStyle w:val="Strong"/>
        </w:rPr>
        <w:t>Uwagi:</w:t>
      </w:r>
      <w:r>
        <w:rPr/>
        <w:t xml:space="preserve"> [ ]</w:t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BodyText"/>
        <w:bidi w:val="0"/>
        <w:spacing w:before="0" w:after="140"/>
        <w:jc w:val="left"/>
        <w:rPr/>
      </w:pPr>
      <w:r>
        <w:rPr>
          <w:rStyle w:val="Emphasis"/>
        </w:rPr>
        <w:t>Aktualizacja wzoru: 04.11.2026.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auto"/>
    <w:pitch w:val="default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Arial" w:hAnsi="Arial" w:eastAsia="Arial" w:cs="Arial"/>
      <w:color w:val="auto"/>
      <w:sz w:val="22"/>
      <w:szCs w:val="22"/>
      <w:lang w:val="pl-PL" w:eastAsia="zh-CN" w:bidi="hi-IN"/>
    </w:rPr>
  </w:style>
  <w:style w:type="paragraph" w:styleId="Heading2">
    <w:name w:val="heading 2"/>
    <w:basedOn w:val="Heading"/>
    <w:next w:val="BodyText"/>
    <w:qFormat/>
    <w:pPr>
      <w:spacing w:before="200" w:after="120"/>
      <w:outlineLvl w:val="1"/>
    </w:pPr>
    <w:rPr>
      <w:rFonts w:ascii="Arial" w:hAnsi="Arial" w:eastAsia="Arial" w:cs="Arial"/>
      <w:b/>
      <w:bCs/>
      <w:sz w:val="26"/>
      <w:szCs w:val="26"/>
    </w:rPr>
  </w:style>
  <w:style w:type="paragraph" w:styleId="Heading3">
    <w:name w:val="heading 3"/>
    <w:basedOn w:val="Heading"/>
    <w:next w:val="BodyText"/>
    <w:qFormat/>
    <w:pPr>
      <w:spacing w:before="140" w:after="12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Heading4">
    <w:name w:val="heading 4"/>
    <w:basedOn w:val="Heading"/>
    <w:next w:val="BodyText"/>
    <w:qFormat/>
    <w:pPr>
      <w:spacing w:before="120" w:after="120"/>
      <w:outlineLvl w:val="3"/>
    </w:pPr>
    <w:rPr>
      <w:rFonts w:ascii="Arial" w:hAnsi="Arial" w:eastAsia="Arial" w:cs="Arial"/>
      <w:b/>
      <w:bCs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>
      <w:rFonts w:ascii="Arial" w:hAnsi="Arial" w:eastAsia="Arial" w:cs="Arial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ableContents">
    <w:name w:val="Table Contents"/>
    <w:basedOn w:val="Normal"/>
    <w:qFormat/>
    <w:pPr>
      <w:widowControl w:val="false"/>
      <w:suppressLineNumbers/>
    </w:pPr>
    <w:rPr>
      <w:rFonts w:ascii="Arial" w:hAnsi="Arial" w:eastAsia="Arial" w:cs="Arial"/>
      <w:sz w:val="20"/>
      <w:szCs w:val="20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rFonts w:ascii="Arial" w:hAnsi="Arial" w:eastAsia="Arial" w:cs="Arial"/>
      <w:b/>
      <w:bCs/>
      <w:sz w:val="20"/>
      <w:szCs w:val="20"/>
    </w:rPr>
  </w:style>
  <w:style w:type="paragraph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LibreOffice/25.8.4.2$MacOSX_AARCH64 LibreOffice_project/290daaa01b999472f0c7a3890eb6a550fd74c6df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>Checklista wdrożenia systemu rezerwacji w 60 dni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