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left"/>
        <w:rPr/>
      </w:pPr>
      <w:r>
        <w:rPr/>
        <w:t>Pola do uzupełnienia: [w nawiasach kwadratowych]. Komentarze: „Komentarz” - do usunięcia przed publikacją.</w:t>
      </w:r>
    </w:p>
    <w:p>
      <w:pPr>
        <w:pStyle w:val="BodyText"/>
        <w:bidi w:val="0"/>
        <w:jc w:val="left"/>
        <w:rPr/>
      </w:pPr>
      <w:r>
        <w:rPr>
          <w:rStyle w:val="Strong"/>
        </w:rPr>
        <w:t>Informacja o przetwarzaniu danych osobowych osób rezerwujących obiekty i zapisujących się na zajęcia</w:t>
      </w:r>
    </w:p>
    <w:p>
      <w:pPr>
        <w:pStyle w:val="BodyText"/>
        <w:bidi w:val="0"/>
        <w:jc w:val="left"/>
        <w:rPr/>
      </w:pPr>
      <w:r>
        <w:rPr/>
        <w:t>Zgodnie z art. 13 rozporządzenia Parlamentu Europejskiego i Rady (UE) 2016/679 z dnia 27 kwietnia 2016 r. (RODO) informujemy:</w:t>
      </w:r>
    </w:p>
    <w:p>
      <w:pPr>
        <w:pStyle w:val="BodyText"/>
        <w:bidi w:val="0"/>
        <w:jc w:val="left"/>
        <w:rPr/>
      </w:pPr>
      <w:r>
        <w:rPr>
          <w:rStyle w:val="Strong"/>
        </w:rPr>
        <w:t>1. Administrator danych</w:t>
      </w:r>
    </w:p>
    <w:p>
      <w:pPr>
        <w:pStyle w:val="BodyText"/>
        <w:bidi w:val="0"/>
        <w:jc w:val="left"/>
        <w:rPr/>
      </w:pPr>
      <w:r>
        <w:rPr/>
        <w:t>Administratorem Pani/Pana danych osobowych jest [Gmina … reprezentowana przez Wójta Gminy … / nazwa jednostki], [adres], e-mail: [ ], tel.: [ ].</w:t>
      </w:r>
    </w:p>
    <w:p>
      <w:pPr>
        <w:pStyle w:val="BodyText"/>
        <w:bidi w:val="0"/>
        <w:jc w:val="left"/>
        <w:rPr/>
      </w:pPr>
      <w:r>
        <w:rPr>
          <w:rStyle w:val="Strong"/>
        </w:rPr>
        <w:t>2. Inspektor ochrony danych</w:t>
      </w:r>
    </w:p>
    <w:p>
      <w:pPr>
        <w:pStyle w:val="BodyText"/>
        <w:bidi w:val="0"/>
        <w:jc w:val="left"/>
        <w:rPr/>
      </w:pPr>
      <w:r>
        <w:rPr/>
        <w:t>Z inspektorem ochrony danych można się kontaktować pod adresem e-mail [ ] lub pisemnie na adres administratora.</w:t>
      </w:r>
    </w:p>
    <w:p>
      <w:pPr>
        <w:pStyle w:val="BodyText"/>
        <w:bidi w:val="0"/>
        <w:jc w:val="left"/>
        <w:rPr/>
      </w:pPr>
      <w:r>
        <w:rPr>
          <w:rStyle w:val="Strong"/>
        </w:rPr>
        <w:t>3. Cele i podstawy przetwarzania</w:t>
      </w:r>
    </w:p>
    <w:tbl>
      <w:tblPr>
        <w:tblW w:w="5000" w:type="pct"/>
        <w:jc w:val="lef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227"/>
        <w:gridCol w:w="4978"/>
      </w:tblGrid>
      <w:tr>
        <w:trPr>
          <w:tblHeader w:val="true"/>
        </w:trPr>
        <w:tc>
          <w:tcPr>
            <w:tcW w:w="5227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Cel</w:t>
            </w:r>
          </w:p>
        </w:tc>
        <w:tc>
          <w:tcPr>
            <w:tcW w:w="497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/>
              <w:t>Podstawa prawna (art. 6 ust. 1 RODO)</w:t>
            </w:r>
          </w:p>
        </w:tc>
      </w:tr>
      <w:tr>
        <w:trPr/>
        <w:tc>
          <w:tcPr>
            <w:tcW w:w="5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Przyjęcie i obsługa rezerwacji obiektu lub zapisu na zajęcia, kontakt w sprawie rezerwacji, wysyłka potwierdzeń i przypomnień</w:t>
            </w:r>
          </w:p>
        </w:tc>
        <w:tc>
          <w:tcPr>
            <w:tcW w:w="4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[lit. b - działania przed zawarciem i wykonanie umowy / lit. e - wykonanie zadania realizowanego w interesie publicznym]</w:t>
            </w:r>
          </w:p>
        </w:tc>
      </w:tr>
      <w:tr>
        <w:trPr/>
        <w:tc>
          <w:tcPr>
            <w:tcW w:w="5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Rozliczenie opłat, zwrotów i ewentualnych należności</w:t>
            </w:r>
          </w:p>
        </w:tc>
        <w:tc>
          <w:tcPr>
            <w:tcW w:w="4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[lit. b / lit. c - obowiązki wynikające z przepisów o rachunkowości i podatkowych]</w:t>
            </w:r>
          </w:p>
        </w:tc>
      </w:tr>
      <w:tr>
        <w:trPr/>
        <w:tc>
          <w:tcPr>
            <w:tcW w:w="5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Rozpatrzenie reklamacji</w:t>
            </w:r>
          </w:p>
        </w:tc>
        <w:tc>
          <w:tcPr>
            <w:tcW w:w="4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[lit. b / lit. c]</w:t>
            </w:r>
          </w:p>
        </w:tc>
      </w:tr>
      <w:tr>
        <w:trPr/>
        <w:tc>
          <w:tcPr>
            <w:tcW w:w="5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(opcjonalnie) Prośba o opinię po wizycie i publikacja opinii</w:t>
            </w:r>
          </w:p>
        </w:tc>
        <w:tc>
          <w:tcPr>
            <w:tcW w:w="4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[lit. a - zgoda / lit. e]</w:t>
            </w:r>
          </w:p>
        </w:tc>
      </w:tr>
      <w:tr>
        <w:trPr/>
        <w:tc>
          <w:tcPr>
            <w:tcW w:w="5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Archiwizacja dokumentacji</w:t>
            </w:r>
          </w:p>
        </w:tc>
        <w:tc>
          <w:tcPr>
            <w:tcW w:w="4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lit. c - przepisy o narodowym zasobie archiwalnym i archiwach oraz przepisy wykonawcze</w:t>
            </w:r>
          </w:p>
        </w:tc>
      </w:tr>
      <w:tr>
        <w:trPr/>
        <w:tc>
          <w:tcPr>
            <w:tcW w:w="5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Zapewnienie bezpieczeństwa systemu (rejestr zdarzeń, adres IP)</w:t>
            </w:r>
          </w:p>
        </w:tc>
        <w:tc>
          <w:tcPr>
            <w:tcW w:w="4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left"/>
              <w:rPr/>
            </w:pPr>
            <w:r>
              <w:rPr/>
              <w:t>[lit. e / lit. c]</w:t>
            </w:r>
          </w:p>
        </w:tc>
      </w:tr>
    </w:tbl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organy publiczne nie mogą opierać przetwarzania w ramach realizacji swoich zadań na prawnie uzasadnionym interesie (art. 6 ust. 1 akapit drugi RODO). Jeśli administratorem jest jednostka działająca częściowo komercyjnie, podstawy mogą być inne.</w:t>
      </w:r>
    </w:p>
    <w:p>
      <w:pPr>
        <w:pStyle w:val="BodyText"/>
        <w:bidi w:val="0"/>
        <w:jc w:val="left"/>
        <w:rPr/>
      </w:pPr>
      <w:r>
        <w:rPr>
          <w:rStyle w:val="Strong"/>
        </w:rPr>
        <w:t>4. Odbiorcy danych</w:t>
      </w:r>
    </w:p>
    <w:p>
      <w:pPr>
        <w:pStyle w:val="BodyText"/>
        <w:bidi w:val="0"/>
        <w:jc w:val="left"/>
        <w:rPr/>
      </w:pPr>
      <w:r>
        <w:rPr/>
        <w:t>Odbiorcami danych mogą być: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dostawca systemu rezerwacji ZAJMIJ.TO - ZAJMIJTO sp. z o.o., ul. Święty Marcin 29/8, 61-806 Poznań, przetwarzający dane w imieniu administratora na podstawie umowy powierzenia, oraz jego dalsze podmioty przetwarzające: dostawca infrastruktury serwerowej i dostawca usługi poczty elektronicznej (lista: https://zajmij.to/podprzetwarzajacy/);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operator płatności internetowych PayPro S.A. (Przelewy24) - odrębny administrator danych płatnika - w przypadku płatności online;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banki obsługujące rachunki administratora;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[inne jednostki gminy uczestniczące w obsłudze rezerwacji];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podmioty uprawnione na podstawie przepisów prawa. </w:t>
      </w:r>
    </w:p>
    <w:p>
      <w:pPr>
        <w:pStyle w:val="BodyText"/>
        <w:bidi w:val="0"/>
        <w:jc w:val="left"/>
        <w:rPr/>
      </w:pPr>
      <w:r>
        <w:rPr>
          <w:rStyle w:val="Strong"/>
        </w:rPr>
        <w:t>5. Przekazywanie danych poza Europejski Obszar Gospodarczy</w:t>
      </w:r>
    </w:p>
    <w:p>
      <w:pPr>
        <w:pStyle w:val="BodyText"/>
        <w:bidi w:val="0"/>
        <w:jc w:val="left"/>
        <w:rPr/>
      </w:pPr>
      <w:r>
        <w:rPr/>
        <w:t>Dane nie są przekazywane do państw spoza Europejskiego Obszaru Gospodarczego.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zdanie można zostawić po sprawdzeniu lokalizacji przetwarzania w umowie powierzenia i na liście podmiotów podprzetwarzających dostawcy (w ZAJMIJ.TO serwery, kopie zapasowe i poczta są w Europejskim Obszarze Gospodarczym), a także u operatora płatności.</w:t>
      </w:r>
    </w:p>
    <w:p>
      <w:pPr>
        <w:pStyle w:val="BodyText"/>
        <w:bidi w:val="0"/>
        <w:jc w:val="left"/>
        <w:rPr/>
      </w:pPr>
      <w:r>
        <w:rPr>
          <w:rStyle w:val="Strong"/>
        </w:rPr>
        <w:t>6. Okres przechowywania</w:t>
      </w:r>
    </w:p>
    <w:p>
      <w:pPr>
        <w:pStyle w:val="BodyText"/>
        <w:bidi w:val="0"/>
        <w:jc w:val="left"/>
        <w:rPr/>
      </w:pPr>
      <w:r>
        <w:rPr/>
        <w:t>Dane przechowujemy przez okres realizacji rezerwacji, a następnie przez okres wynikający z przepisów o archiwizacji i przepisów o rachunkowości, określony w [instrukcji kancelaryjnej / jednolitym rzeczowym wykazie akt - kategoria archiwalna …]. Dane przetwarzane na podstawie zgody przechowujemy do czasu jej wycofania.</w:t>
      </w:r>
    </w:p>
    <w:p>
      <w:pPr>
        <w:pStyle w:val="BodyText"/>
        <w:bidi w:val="0"/>
        <w:jc w:val="left"/>
        <w:rPr/>
      </w:pPr>
      <w:r>
        <w:rPr>
          <w:rStyle w:val="Strong"/>
        </w:rPr>
        <w:t>7. Prawa osoby, której dane dotyczą</w:t>
      </w:r>
    </w:p>
    <w:p>
      <w:pPr>
        <w:pStyle w:val="BodyText"/>
        <w:bidi w:val="0"/>
        <w:jc w:val="left"/>
        <w:rPr/>
      </w:pPr>
      <w:r>
        <w:rPr/>
        <w:t>Przysługuje Pani/Panu prawo do: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dostępu do swoich danych i otrzymania ich kopii;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sprostowania danych;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usunięcia danych - w przypadkach określonych w art. 17 RODO;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ograniczenia przetwarzania;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wniesienia sprzeciwu - wobec przetwarzania na podstawie art. 6 ust. 1 lit. e RODO;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przenoszenia danych - wobec danych przetwarzanych na podstawie zgody lub umowy, w sposób zautomatyzowany;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wycofania zgody w dowolnym momencie, bez wpływu na zgodność z prawem przetwarzania przed jej wycofaniem - jeżeli przetwarzanie odbywa się na podstawie zgody. </w:t>
      </w:r>
    </w:p>
    <w:p>
      <w:pPr>
        <w:pStyle w:val="BodyText"/>
        <w:bidi w:val="0"/>
        <w:jc w:val="left"/>
        <w:rPr/>
      </w:pPr>
      <w:r>
        <w:rPr>
          <w:rStyle w:val="Strong"/>
        </w:rPr>
        <w:t>8. Skarga do organu nadzorczego</w:t>
      </w:r>
    </w:p>
    <w:p>
      <w:pPr>
        <w:pStyle w:val="BodyText"/>
        <w:bidi w:val="0"/>
        <w:jc w:val="left"/>
        <w:rPr/>
      </w:pPr>
      <w:r>
        <w:rPr/>
        <w:t>Ma Pani/Pan prawo wnieść skargę do Prezesa Urzędu Ochrony Danych Osobowych, ul. Stawki 2, 00-193 Warszawa.</w:t>
      </w:r>
    </w:p>
    <w:p>
      <w:pPr>
        <w:pStyle w:val="BodyText"/>
        <w:bidi w:val="0"/>
        <w:jc w:val="left"/>
        <w:rPr/>
      </w:pPr>
      <w:r>
        <w:rPr>
          <w:rStyle w:val="Strong"/>
        </w:rPr>
        <w:t>9. Informacja o wymogu podania danych</w:t>
      </w:r>
    </w:p>
    <w:p>
      <w:pPr>
        <w:pStyle w:val="BodyText"/>
        <w:bidi w:val="0"/>
        <w:jc w:val="left"/>
        <w:rPr/>
      </w:pPr>
      <w:r>
        <w:rPr/>
        <w:t>Podanie danych jest dobrowolne, ale niezbędne do przyjęcia rezerwacji lub zapisu. Bez podania imienia i nazwiska oraz danych kontaktowych nie jest możliwe przyjęcie rezerwacji. [Podanie numeru NIP jest wymagane, jeśli rezerwacja dotyczy podmiotu prowadzącego działalność.]</w:t>
      </w:r>
    </w:p>
    <w:p>
      <w:pPr>
        <w:pStyle w:val="BodyText"/>
        <w:bidi w:val="0"/>
        <w:jc w:val="left"/>
        <w:rPr/>
      </w:pPr>
      <w:r>
        <w:rPr>
          <w:rStyle w:val="Strong"/>
        </w:rPr>
        <w:t>10. Zautomatyzowane podejmowanie decyzji</w:t>
      </w:r>
    </w:p>
    <w:p>
      <w:pPr>
        <w:pStyle w:val="BodyText"/>
        <w:bidi w:val="0"/>
        <w:jc w:val="left"/>
        <w:rPr/>
      </w:pPr>
      <w:r>
        <w:rPr/>
        <w:t>Dane nie są wykorzystywane do zautomatyzowanego podejmowania decyzji, w tym profilowania.</w:t>
      </w:r>
    </w:p>
    <w:p>
      <w:pPr>
        <w:pStyle w:val="BodyText"/>
        <w:bidi w:val="0"/>
        <w:jc w:val="left"/>
        <w:rPr/>
      </w:pPr>
      <w:r>
        <w:rPr>
          <w:rStyle w:val="Strong"/>
        </w:rPr>
        <w:t>Komentarz:</w:t>
      </w:r>
      <w:r>
        <w:rPr/>
        <w:t xml:space="preserve"> system blokuje termin na czas potwierdzenia rezerwacji linkiem z e-maila i zwalnia go po upływie tego czasu. Blokada terminu to część obsługi rezerwacji (cel z pierwszego wiersza tabeli) i nie wymaga osobnej wzmianki.</w:t>
      </w:r>
    </w:p>
    <w:p>
      <w:pPr>
        <w:pStyle w:val="BodyText"/>
        <w:bidi w:val="0"/>
        <w:jc w:val="left"/>
        <w:rPr/>
      </w:pPr>
      <w:r>
        <w:rPr/>
        <w:t>[data aktualizacji klauzuli, numer wersji]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BodyText"/>
        <w:bidi w:val="0"/>
        <w:spacing w:before="0" w:after="140"/>
        <w:jc w:val="left"/>
        <w:rPr/>
      </w:pPr>
      <w:r>
        <w:rPr>
          <w:rStyle w:val="Emphasis"/>
        </w:rPr>
        <w:t>Aktualizacja wzoru: 04.11.2026. Stan prawny na 02.11.2026.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auto"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</w:pPr>
    <w:rPr>
      <w:rFonts w:ascii="Arial" w:hAnsi="Arial" w:eastAsia="Arial" w:cs="Arial"/>
      <w:color w:val="auto"/>
      <w:sz w:val="22"/>
      <w:szCs w:val="22"/>
      <w:lang w:val="pl-PL" w:eastAsia="zh-CN" w:bidi="hi-IN"/>
    </w:rPr>
  </w:style>
  <w:style w:type="paragraph" w:styleId="Heading2">
    <w:name w:val="heading 2"/>
    <w:basedOn w:val="Heading"/>
    <w:next w:val="BodyText"/>
    <w:qFormat/>
    <w:pPr>
      <w:spacing w:before="200" w:after="120"/>
      <w:outlineLvl w:val="1"/>
    </w:pPr>
    <w:rPr>
      <w:rFonts w:ascii="Arial" w:hAnsi="Arial" w:eastAsia="Arial" w:cs="Arial"/>
      <w:b/>
      <w:bCs/>
      <w:sz w:val="26"/>
      <w:szCs w:val="26"/>
    </w:rPr>
  </w:style>
  <w:style w:type="paragraph" w:styleId="Heading3">
    <w:name w:val="heading 3"/>
    <w:basedOn w:val="Heading"/>
    <w:next w:val="BodyText"/>
    <w:qFormat/>
    <w:pPr>
      <w:spacing w:before="140" w:after="120"/>
      <w:outlineLvl w:val="2"/>
    </w:pPr>
    <w:rPr>
      <w:rFonts w:ascii="Arial" w:hAnsi="Arial" w:eastAsia="Arial" w:cs="Arial"/>
      <w:b/>
      <w:bCs/>
      <w:sz w:val="24"/>
      <w:szCs w:val="24"/>
    </w:rPr>
  </w:style>
  <w:style w:type="paragraph" w:styleId="Heading4">
    <w:name w:val="heading 4"/>
    <w:basedOn w:val="Heading"/>
    <w:next w:val="BodyText"/>
    <w:qFormat/>
    <w:pPr>
      <w:spacing w:before="120" w:after="120"/>
      <w:outlineLvl w:val="3"/>
    </w:pPr>
    <w:rPr>
      <w:rFonts w:ascii="Arial" w:hAnsi="Arial" w:eastAsia="Arial" w:cs="Arial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>
      <w:rFonts w:ascii="Arial" w:hAnsi="Arial" w:eastAsia="Arial" w:cs="Arial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ableContents">
    <w:name w:val="Table Contents"/>
    <w:basedOn w:val="Normal"/>
    <w:qFormat/>
    <w:pPr>
      <w:widowControl w:val="false"/>
      <w:suppressLineNumbers/>
    </w:pPr>
    <w:rPr>
      <w:rFonts w:ascii="Arial" w:hAnsi="Arial" w:eastAsia="Arial" w:cs="Arial"/>
      <w:sz w:val="20"/>
      <w:szCs w:val="20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rFonts w:ascii="Arial" w:hAnsi="Arial" w:eastAsia="Arial" w:cs="Arial"/>
      <w:b/>
      <w:bCs/>
      <w:sz w:val="20"/>
      <w:szCs w:val="20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LibreOffice/25.8.4.2$MacOSX_AARCH64 LibreOffice_project/290daaa01b999472f0c7a3890eb6a550fd74c6df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>Wzór klauzuli informacyjnej RODO dla osób rezerwujących obiekty gminne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