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left"/>
        <w:rPr/>
      </w:pPr>
      <w:r>
        <w:rPr/>
        <w:t>Pola do uzupełnienia: [w nawiasach kwadratowych]. Postanowienia opcjonalne: oznaczone „(opcjonalnie)”. Komentarze dla redakcji gminy: oznaczone „Komentarz” - do usunięcia przed przyjęciem dokumentu.</w:t>
      </w:r>
    </w:p>
    <w:p>
      <w:pPr>
        <w:pStyle w:val="BodyText"/>
        <w:bidi w:val="0"/>
        <w:jc w:val="left"/>
        <w:rPr/>
      </w:pPr>
      <w:r>
        <w:rPr>
          <w:rStyle w:val="Strong"/>
        </w:rPr>
        <w:t>Regulamin korzystania ze świetlicy wiejskiej w [miejscowość]</w:t>
      </w:r>
    </w:p>
    <w:p>
      <w:pPr>
        <w:pStyle w:val="BodyText"/>
        <w:bidi w:val="0"/>
        <w:jc w:val="left"/>
        <w:rPr/>
      </w:pPr>
      <w:r>
        <w:rPr/>
        <w:t>stanowiący załącznik do [uchwały nr … Rady Gminy … z dnia … / zarządzenia nr … Wójta Gminy … z dnia …]</w:t>
      </w:r>
    </w:p>
    <w:p>
      <w:pPr>
        <w:pStyle w:val="Heading3"/>
        <w:bidi w:val="0"/>
        <w:jc w:val="left"/>
        <w:rPr/>
      </w:pPr>
      <w:r>
        <w:rPr/>
        <w:t>§ 1. Postanowienia ogólne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Regulamin określa zasady i tryb korzystania ze świetlicy wiejskiej w [miejscowość], [adres] (dalej: „świetlica”).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Świetlica jest mieniem Gminy [nazwa]. Zarządcą świetlicy jest [Urząd Gminy / nazwa jednostki / sołectwo - zgodnie z uchwałą nr …] (dalej: „zarządca”).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Bieżący nadzór nad świetlicą, w tym wydawanie i odbiór kluczy, sprawuje opiekun świetlicy wyznaczony przez zarządcę (dalej: „opiekun”). Dane kontaktowe opiekuna podaje się do publicznej wiadomości [na tablicy ogłoszeń w świetlicy / w BIP / w portalu rezerwacji].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Ilekroć w regulaminie jest mowa o „korzystającym”, należy przez to rozumieć osobę fizyczną, osobę prawną lub jednostkę organizacyjną nieposiadającą osobowości prawnej, której udostępniono świetlicę. </w:t>
      </w:r>
    </w:p>
    <w:p>
      <w:pPr>
        <w:pStyle w:val="Heading3"/>
        <w:bidi w:val="0"/>
        <w:jc w:val="left"/>
        <w:rPr/>
      </w:pPr>
      <w:r>
        <w:rPr/>
        <w:t>§ 2. Przeznaczenie świetlicy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>Świetlica służy zaspokajaniu potrzeb społecznych, kulturalnych, oświatowych, sportowych i rekreacyjnych mieszkańców, w szczególności:</w:t>
      </w:r>
    </w:p>
    <w:p>
      <w:pPr>
        <w:pStyle w:val="BodyText"/>
        <w:numPr>
          <w:ilvl w:val="1"/>
          <w:numId w:val="2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zebraniom wiejskim i spotkaniom organów sołectwa; </w:t>
      </w:r>
    </w:p>
    <w:p>
      <w:pPr>
        <w:pStyle w:val="BodyText"/>
        <w:numPr>
          <w:ilvl w:val="1"/>
          <w:numId w:val="2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działalności organizacji społecznych, kół gospodyń wiejskich, ochotniczej straży pożarnej i grup mieszkańców; </w:t>
      </w:r>
    </w:p>
    <w:p>
      <w:pPr>
        <w:pStyle w:val="BodyText"/>
        <w:numPr>
          <w:ilvl w:val="1"/>
          <w:numId w:val="2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zajęciom i wydarzeniom organizowanym przez Gminę i jej jednostki; </w:t>
      </w:r>
    </w:p>
    <w:p>
      <w:pPr>
        <w:pStyle w:val="BodyText"/>
        <w:numPr>
          <w:ilvl w:val="1"/>
          <w:numId w:val="2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[uroczystościom rodzinnym i okolicznościowym].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Pierwszeństwo w korzystaniu ze świetlicy mają: zebrania wiejskie, wydarzenia organizowane przez Gminę, jej jednostki i sołectwo oraz [inne - wskazać].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W świetlicy nie organizuje się [wskazać, np. wydarzeń komercyjnych o charakterze …], chyba że [warunek]. 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katalog przeznaczenia i pierwszeństwa powinien odpowiadać rzeczywistemu wykorzystaniu świetlicy. Zbyt szeroki zakaz bywa trudny do uzasadnienia; zbyt ogólny nie rozstrzyga konfliktu terminów.</w:t>
      </w:r>
    </w:p>
    <w:p>
      <w:pPr>
        <w:pStyle w:val="Heading3"/>
        <w:bidi w:val="0"/>
        <w:jc w:val="left"/>
        <w:rPr/>
      </w:pPr>
      <w:r>
        <w:rPr/>
        <w:t>§ 3. Rezerwacja i udostępnienie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Świetlica jest udostępniana na podstawie [wniosku złożonego w formie elektronicznej w portalu rezerwacji / wniosku pisemnego / zgłoszenia telefonicznego potwierdzonego przez zarządcę].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Wniosek składa się nie później niż [liczba] dni przed planowanym terminem i nie wcześniej niż [liczba] miesięcy przed tym terminem.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Wniosek zawiera: dane wnioskodawcy niezbędne do kontaktu, termin i godziny korzystania (z czasem na przygotowanie i uporządkowanie sali), cel i przewidywaną liczbę uczestników. Wzór wniosku określa [zarządca / załącznik nr …].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Zarządca potwierdza udostępnienie albo odmawia go [w formie elektronicznej / pisemnej] w terminie [liczba] dni od złożenia wniosku. Złożenie wniosku nie jest równoznaczne z udostępnieniem świetlicy.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Zarządca może odmówić udostępnienia, w szczególności gdy termin jest zajęty, cel korzystania jest niezgodny z § 2 albo korzystający nie rozliczył się z wcześniejszego korzystania.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Terminy zajęte i wolne podaje się do publicznej wiadomości [w portalu rezerwacji / na tablicy ogłoszeń], bez danych osobowych korzystających. </w:t>
      </w:r>
    </w:p>
    <w:p>
      <w:pPr>
        <w:pStyle w:val="Heading3"/>
        <w:bidi w:val="0"/>
        <w:jc w:val="left"/>
        <w:rPr/>
      </w:pPr>
      <w:r>
        <w:rPr/>
        <w:t>§ 4. Opłaty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Korzystanie ze świetlicy jest [odpłatne / nieodpłatne w przypadkach określonych w cenniku].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Wysokość opłat oraz zwolnienia z opłat określa [uchwała nr … Rady Gminy / zarządzenie nr … Wójta Gminy wydane na podstawie uchwały nr …].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Opłatę uiszcza się [przed przekazaniem kluczy / w terminie … dni od potwierdzenia rezerwacji] [przelewem na rachunek …/ płatnością online w portalu rezerwacji / w kasie urzędu].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(opcjonalnie) Korzystający wpłaca kaucję w wysokości określonej w [dokument]. Kaucja jest zwracana w terminie [liczba] dni od protokolarnego zwrotu świetlicy, po potrąceniu kwot na pokrycie stwierdzonych szkód, o ile przepisy na to pozwalają. 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kaucję gmina może przewidzieć w regulaminie jako zabezpieczenie na wypadek szkody (art. 353¹ Kodeksu cywilnego); wraca po rozliczeniu. Jeżeli cennik przyjmuje się w innym trybie niż regulamin, w regulaminie zostaje tylko odesłanie (ust. 2).</w:t>
      </w:r>
    </w:p>
    <w:p>
      <w:pPr>
        <w:pStyle w:val="Heading3"/>
        <w:bidi w:val="0"/>
        <w:jc w:val="left"/>
        <w:rPr/>
      </w:pPr>
      <w:r>
        <w:rPr/>
        <w:t>§ 5. Przekazanie i zwrot świetlicy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Opiekun przekazuje świetlicę korzystającemu w uzgodnionym terminie. Przekazanie i zwrot potwierdza protokół, w którym odnotowuje się stan pomieszczeń i wyposażenia oraz stan liczników, jeżeli opłata od nich zależy.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Korzystający zwraca świetlicę uporządkowaną, w stanie niepogorszonym, w terminie [godzina / dzień] określonym w potwierdzeniu.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Korzystający nie przekazuje kluczy osobom trzecim i nie sporządza ich kopii. </w:t>
      </w:r>
    </w:p>
    <w:p>
      <w:pPr>
        <w:pStyle w:val="Heading3"/>
        <w:bidi w:val="0"/>
        <w:jc w:val="left"/>
        <w:rPr/>
      </w:pPr>
      <w:r>
        <w:rPr/>
        <w:t>§ 6. Obowiązki korzystającego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>Korzystający:</w:t>
      </w:r>
    </w:p>
    <w:p>
      <w:pPr>
        <w:pStyle w:val="BodyText"/>
        <w:numPr>
          <w:ilvl w:val="1"/>
          <w:numId w:val="6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korzysta ze świetlicy zgodnie z jej przeznaczeniem i celem wskazanym we wniosku; </w:t>
      </w:r>
    </w:p>
    <w:p>
      <w:pPr>
        <w:pStyle w:val="BodyText"/>
        <w:numPr>
          <w:ilvl w:val="1"/>
          <w:numId w:val="6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odpowiada za przestrzeganie porządku i bezpieczeństwa w czasie korzystania, w tym przepisów przeciwpożarowych i porządkowych obowiązujących na terenie Gminy; </w:t>
      </w:r>
    </w:p>
    <w:p>
      <w:pPr>
        <w:pStyle w:val="BodyText"/>
        <w:numPr>
          <w:ilvl w:val="1"/>
          <w:numId w:val="6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nie przekracza dopuszczalnej liczby osób w świetlicy, wynoszącej [liczba]; </w:t>
      </w:r>
    </w:p>
    <w:p>
      <w:pPr>
        <w:pStyle w:val="BodyText"/>
        <w:numPr>
          <w:ilvl w:val="1"/>
          <w:numId w:val="6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niezwłocznie zgłasza opiekunowi awarie i szkody.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Bez zgody zarządcy w świetlicy nie wolno [wskazać, np. dokonywać zmian w wyposażeniu, wnosić urządzeń o dużym poborze mocy]. 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lepiej unikać powtarzania przepisów ustaw (np. o wychowaniu w trzeźwości, o ochronie przeciwpożarowej). Wystarczy ogólne odesłanie. Powielanie przepisów ustawowych w akcie prawa miejscowego bywa przyczyną zastrzeżeń organu nadzoru.</w:t>
      </w:r>
    </w:p>
    <w:p>
      <w:pPr>
        <w:pStyle w:val="Heading3"/>
        <w:bidi w:val="0"/>
        <w:jc w:val="left"/>
        <w:rPr/>
      </w:pPr>
      <w:r>
        <w:rPr/>
        <w:t>§ 7. Odpowiedzialność za szkody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Korzystający odpowiada za szkody wyrządzone w mieniu Gminy w czasie korzystania ze świetlicy na zasadach określonych w przepisach prawa cywilnego. 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Zarządca nie odpowiada za rzeczy pozostawione w świetlicy przez korzystającego [w zakresie dopuszczalnym przez przepisy]. </w:t>
      </w:r>
    </w:p>
    <w:p>
      <w:pPr>
        <w:pStyle w:val="Heading3"/>
        <w:bidi w:val="0"/>
        <w:jc w:val="left"/>
        <w:rPr/>
      </w:pPr>
      <w:r>
        <w:rPr/>
        <w:t>§ 8. Rezygnacja i odwołanie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Korzystający może zrezygnować z korzystania ze świetlicy, informując zarządcę [w portalu rezerwacji / pisemnie / e-mailem]. Zasady zwrotu wniesionej opłaty w razie rezygnacji określa [dokument / ust. 3]. 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Zarządca może odwołać udostępnienie z ważnych przyczyn, w szczególności awarii, konieczności przeprowadzenia prac lub wydarzenia o charakterze nadzwyczajnym. W takim przypadku zwraca wniesioną opłatę w całości [i proponuje inny termin]. 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(opcjonalnie) Opłata jest zwracana w całości, jeśli rezygnacja nastąpi nie później niż [liczba] dni przed terminem; [przy późniejszej rezygnacji - wskazać zasadę]. </w:t>
      </w:r>
    </w:p>
    <w:p>
      <w:pPr>
        <w:pStyle w:val="Heading3"/>
        <w:bidi w:val="0"/>
        <w:jc w:val="left"/>
        <w:rPr/>
      </w:pPr>
      <w:r>
        <w:rPr/>
        <w:t>§ 9. Dane osobowe</w:t>
      </w:r>
    </w:p>
    <w:p>
      <w:pPr>
        <w:pStyle w:val="BodyText"/>
        <w:bidi w:val="0"/>
        <w:jc w:val="left"/>
        <w:rPr/>
      </w:pPr>
      <w:r>
        <w:rPr/>
        <w:t>Informacje o przetwarzaniu danych osobowych korzystających zawiera klauzula informacyjna dostępna [w portalu rezerwacji / w BIP / przy wniosku].</w:t>
      </w:r>
    </w:p>
    <w:p>
      <w:pPr>
        <w:pStyle w:val="Heading3"/>
        <w:bidi w:val="0"/>
        <w:jc w:val="left"/>
        <w:rPr/>
      </w:pPr>
      <w:r>
        <w:rPr/>
        <w:t>§ 10. Postanowienia końcowe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Regulamin jest dostępny w świetlicy, w Biuletynie Informacji Publicznej Gminy [nazwa] oraz [w portalu rezerwacji]. 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W sprawach nieuregulowanych regulaminem decyzje podejmuje zarządca. 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ustęp 2 w akcie prawa miejscowego może być oceniony jako zbyt szerokie upoważnienie. Warto rozważyć jego usunięcie albo zawężenie do spraw organizacyjnych.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>
          <w:rStyle w:val="Strong"/>
        </w:rPr>
        <w:t>Podstawy prawne (stan na 02.11.2026):</w:t>
      </w:r>
      <w:r>
        <w:rPr/>
        <w:t xml:space="preserve"> ustawa z dnia 8 marca 1990 r. o samorządzie gminnym (art. 40 ust. 2 pkt 4, art. 41 ust. 1, art. 48); ustawa z dnia 20 grudnia 1996 r. o gospodarce komunalnej (art. 4 ust. 1 pkt 2 i ust. 2); rozporządzenie (UE) 2016/679 (RODO) w zakresie § 9. Wzór nie powołuje rozstrzygnięć nadzorczych - przykłady są w artykule </w:t>
      </w:r>
      <w:hyperlink r:id="rId2">
        <w:r>
          <w:rPr>
            <w:rStyle w:val="Hyperlink"/>
          </w:rPr>
          <w:t>Regulamin świetlicy wiejskiej: co może rada gminy, a co wójt</w:t>
        </w:r>
      </w:hyperlink>
      <w:r>
        <w:rPr/>
        <w:t>.</w:t>
      </w:r>
    </w:p>
    <w:p>
      <w:pPr>
        <w:pStyle w:val="BodyText"/>
        <w:bidi w:val="0"/>
        <w:spacing w:before="0" w:after="140"/>
        <w:jc w:val="left"/>
        <w:rPr/>
      </w:pPr>
      <w:r>
        <w:rPr>
          <w:rStyle w:val="Emphasis"/>
        </w:rPr>
        <w:t>Aktualizacja wzoru: 04.11.2026.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auto"/>
    <w:pitch w:val="default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Arial" w:hAnsi="Arial" w:eastAsia="Arial" w:cs="Arial"/>
      <w:color w:val="auto"/>
      <w:sz w:val="22"/>
      <w:szCs w:val="22"/>
      <w:lang w:val="pl-PL" w:eastAsia="zh-CN" w:bidi="hi-IN"/>
    </w:rPr>
  </w:style>
  <w:style w:type="paragraph" w:styleId="Heading2">
    <w:name w:val="heading 2"/>
    <w:basedOn w:val="Heading"/>
    <w:next w:val="BodyText"/>
    <w:qFormat/>
    <w:pPr>
      <w:spacing w:before="200" w:after="120"/>
      <w:outlineLvl w:val="1"/>
    </w:pPr>
    <w:rPr>
      <w:rFonts w:ascii="Arial" w:hAnsi="Arial" w:eastAsia="Arial" w:cs="Arial"/>
      <w:b/>
      <w:bCs/>
      <w:sz w:val="26"/>
      <w:szCs w:val="26"/>
    </w:rPr>
  </w:style>
  <w:style w:type="paragraph" w:styleId="Heading3">
    <w:name w:val="heading 3"/>
    <w:basedOn w:val="Heading"/>
    <w:next w:val="BodyText"/>
    <w:qFormat/>
    <w:pPr>
      <w:spacing w:before="140" w:after="12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Heading"/>
    <w:next w:val="BodyText"/>
    <w:qFormat/>
    <w:pPr>
      <w:spacing w:before="120" w:after="120"/>
      <w:outlineLvl w:val="3"/>
    </w:pPr>
    <w:rPr>
      <w:rFonts w:ascii="Arial" w:hAnsi="Arial" w:eastAsia="Arial" w:cs="Arial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NumberingSymbols">
    <w:name w:val="Numbering Symbols"/>
    <w:qFormat/>
    <w:rPr/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>
      <w:rFonts w:ascii="Arial" w:hAnsi="Arial" w:eastAsia="Arial" w:cs="Arial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qFormat/>
    <w:pPr>
      <w:widowControl w:val="false"/>
      <w:suppressLineNumbers/>
    </w:pPr>
    <w:rPr>
      <w:rFonts w:ascii="Arial" w:hAnsi="Arial" w:eastAsia="Arial" w:cs="Arial"/>
      <w:sz w:val="20"/>
      <w:szCs w:val="20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rFonts w:ascii="Arial" w:hAnsi="Arial" w:eastAsia="Arial" w:cs="Arial"/>
      <w:b/>
      <w:bCs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ajmij.to/regulamin-swietlicy-wiejskiej-rada-czy-wojt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LibreOffice/25.8.4.2$MacOSX_AARCH64 LibreOffice_project/290daaa01b999472f0c7a3890eb6a550fd74c6df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>Wzór regulaminu korzystania ze świetlicy wiejskiej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